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48" w:rsidRDefault="00361F16">
      <w:pPr>
        <w:spacing w:line="480" w:lineRule="exact"/>
        <w:jc w:val="center"/>
        <w:rPr>
          <w:b/>
          <w:sz w:val="44"/>
          <w:szCs w:val="44"/>
        </w:rPr>
      </w:pPr>
      <w:r>
        <w:rPr>
          <w:rFonts w:hAnsi="宋体"/>
          <w:b/>
          <w:sz w:val="44"/>
          <w:szCs w:val="44"/>
        </w:rPr>
        <w:t>中国石化仪征化纤公司</w:t>
      </w:r>
      <w:r>
        <w:rPr>
          <w:rFonts w:hAnsi="宋体" w:hint="eastAsia"/>
          <w:b/>
          <w:sz w:val="44"/>
          <w:szCs w:val="44"/>
        </w:rPr>
        <w:t>招聘简章</w:t>
      </w:r>
    </w:p>
    <w:p w:rsidR="00EA0748" w:rsidRDefault="00EA0748">
      <w:pPr>
        <w:spacing w:line="480" w:lineRule="exact"/>
        <w:ind w:firstLineChars="200" w:firstLine="600"/>
        <w:rPr>
          <w:rFonts w:eastAsia="仿宋_GB2312"/>
          <w:sz w:val="30"/>
          <w:szCs w:val="30"/>
        </w:rPr>
      </w:pPr>
    </w:p>
    <w:p w:rsidR="00EA0748" w:rsidRDefault="00361F16">
      <w:pPr>
        <w:spacing w:line="360" w:lineRule="auto"/>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公司简介</w:t>
      </w:r>
    </w:p>
    <w:p w:rsidR="00EA0748" w:rsidRDefault="00361F16">
      <w:pPr>
        <w:spacing w:line="360" w:lineRule="auto"/>
        <w:ind w:firstLineChars="200" w:firstLine="640"/>
        <w:rPr>
          <w:rFonts w:ascii="仿宋_GB2312" w:eastAsia="仿宋_GB2312"/>
          <w:sz w:val="32"/>
          <w:szCs w:val="32"/>
        </w:rPr>
      </w:pPr>
      <w:r>
        <w:rPr>
          <w:rFonts w:ascii="仿宋_GB2312" w:eastAsia="仿宋_GB2312" w:hint="eastAsia"/>
          <w:sz w:val="32"/>
          <w:szCs w:val="32"/>
        </w:rPr>
        <w:t>中国石化仪征化纤有限责任公司（简称“仪征化纤”）是中国石化的全资子公司，位于江苏</w:t>
      </w:r>
      <w:r w:rsidR="00E41710">
        <w:rPr>
          <w:rFonts w:ascii="仿宋_GB2312" w:eastAsia="仿宋_GB2312" w:hint="eastAsia"/>
          <w:sz w:val="32"/>
          <w:szCs w:val="32"/>
        </w:rPr>
        <w:t>扬州仪征市</w:t>
      </w:r>
      <w:r>
        <w:rPr>
          <w:rFonts w:ascii="仿宋_GB2312" w:eastAsia="仿宋_GB2312" w:hint="eastAsia"/>
          <w:sz w:val="32"/>
          <w:szCs w:val="32"/>
        </w:rPr>
        <w:t>，东临历史文化名城扬州，西毗六朝古都南京，是宁镇扬大都市区几何中心。</w:t>
      </w:r>
    </w:p>
    <w:p w:rsidR="00EA0748" w:rsidRDefault="00E41710">
      <w:pPr>
        <w:spacing w:line="360" w:lineRule="auto"/>
        <w:ind w:firstLineChars="200" w:firstLine="640"/>
        <w:rPr>
          <w:rFonts w:ascii="仿宋_GB2312" w:eastAsia="仿宋_GB2312"/>
          <w:sz w:val="32"/>
          <w:szCs w:val="32"/>
        </w:rPr>
      </w:pPr>
      <w:r>
        <w:rPr>
          <w:rFonts w:ascii="仿宋_GB2312" w:eastAsia="仿宋_GB2312" w:hint="eastAsia"/>
          <w:sz w:val="32"/>
          <w:szCs w:val="32"/>
        </w:rPr>
        <w:t>中国石化</w:t>
      </w:r>
      <w:r w:rsidR="00361F16">
        <w:rPr>
          <w:rFonts w:ascii="仿宋_GB2312" w:eastAsia="仿宋_GB2312" w:hint="eastAsia"/>
          <w:sz w:val="32"/>
          <w:szCs w:val="32"/>
        </w:rPr>
        <w:t xml:space="preserve">仪征化纤创建于1978年，是改革开放路线指引下建设和发展起来的特大型化纤和化纤原料生产基地，是中高端聚酯和特种纤维的研发和生产基地，为我国聚酯工业发展作出了历史性贡献。当前，仪征化纤紧紧围绕集团公司“一基两翼三新”战略布局，抓住技术升级、产业升级、需求升级的新机遇，朝着“国内领先、世界一流”的合成纤维及新材料专业公司的目标阔步迈进。 </w:t>
      </w:r>
    </w:p>
    <w:p w:rsidR="00FD0D8C" w:rsidRDefault="001803B6">
      <w:pPr>
        <w:spacing w:line="360" w:lineRule="auto"/>
        <w:ind w:firstLineChars="200" w:firstLine="640"/>
        <w:rPr>
          <w:rFonts w:ascii="仿宋_GB2312" w:eastAsia="仿宋_GB2312"/>
          <w:sz w:val="32"/>
          <w:szCs w:val="32"/>
        </w:rPr>
      </w:pPr>
      <w:r>
        <w:rPr>
          <w:rFonts w:ascii="仿宋_GB2312" w:eastAsia="仿宋_GB2312" w:hint="eastAsia"/>
          <w:sz w:val="32"/>
          <w:szCs w:val="32"/>
        </w:rPr>
        <w:t>我公司招聘</w:t>
      </w:r>
      <w:r w:rsidR="00FD0D8C">
        <w:rPr>
          <w:rFonts w:ascii="仿宋_GB2312" w:eastAsia="仿宋_GB2312" w:hint="eastAsia"/>
          <w:sz w:val="32"/>
          <w:szCs w:val="32"/>
        </w:rPr>
        <w:t>2023年应届博士2人、硕士49人、本科39人、大专（高职）120人。招聘岗位如下：</w:t>
      </w:r>
    </w:p>
    <w:p w:rsidR="00EA0748" w:rsidRDefault="00361F16">
      <w:pPr>
        <w:spacing w:line="360" w:lineRule="auto"/>
        <w:ind w:firstLineChars="200" w:firstLine="640"/>
        <w:rPr>
          <w:rFonts w:ascii="黑体" w:eastAsia="黑体" w:hAnsi="宋体"/>
          <w:kern w:val="0"/>
          <w:sz w:val="32"/>
          <w:szCs w:val="32"/>
        </w:rPr>
      </w:pPr>
      <w:r>
        <w:rPr>
          <w:rFonts w:ascii="黑体" w:eastAsia="黑体" w:hAnsi="宋体"/>
          <w:kern w:val="0"/>
          <w:sz w:val="32"/>
          <w:szCs w:val="32"/>
        </w:rPr>
        <w:t>二</w:t>
      </w:r>
      <w:r>
        <w:rPr>
          <w:rFonts w:ascii="黑体" w:eastAsia="黑体" w:hAnsi="宋体" w:hint="eastAsia"/>
          <w:kern w:val="0"/>
          <w:sz w:val="32"/>
          <w:szCs w:val="32"/>
        </w:rPr>
        <w:t>、</w:t>
      </w:r>
      <w:r>
        <w:rPr>
          <w:rFonts w:ascii="黑体" w:eastAsia="黑体" w:hAnsi="宋体"/>
          <w:kern w:val="0"/>
          <w:sz w:val="32"/>
          <w:szCs w:val="32"/>
        </w:rPr>
        <w:t>招聘岗位</w:t>
      </w:r>
    </w:p>
    <w:tbl>
      <w:tblPr>
        <w:tblW w:w="9377" w:type="dxa"/>
        <w:jc w:val="center"/>
        <w:tblLayout w:type="fixed"/>
        <w:tblLook w:val="04A0"/>
      </w:tblPr>
      <w:tblGrid>
        <w:gridCol w:w="628"/>
        <w:gridCol w:w="1488"/>
        <w:gridCol w:w="538"/>
        <w:gridCol w:w="885"/>
        <w:gridCol w:w="1039"/>
        <w:gridCol w:w="4799"/>
      </w:tblGrid>
      <w:tr w:rsidR="00EA0748">
        <w:trPr>
          <w:trHeight w:val="744"/>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EA0748" w:rsidRDefault="00361F16">
            <w:pPr>
              <w:jc w:val="center"/>
              <w:rPr>
                <w:rFonts w:ascii="宋体" w:hAnsi="宋体"/>
                <w:b/>
                <w:color w:val="000000"/>
                <w:sz w:val="18"/>
              </w:rPr>
            </w:pPr>
            <w:r>
              <w:rPr>
                <w:rFonts w:ascii="宋体" w:hAnsi="宋体" w:hint="eastAsia"/>
                <w:b/>
                <w:color w:val="000000"/>
                <w:sz w:val="18"/>
              </w:rPr>
              <w:t>序号</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EA0748" w:rsidRDefault="00361F16">
            <w:pPr>
              <w:jc w:val="center"/>
              <w:rPr>
                <w:rFonts w:ascii="宋体" w:hAnsi="宋体"/>
                <w:b/>
                <w:color w:val="000000"/>
                <w:sz w:val="18"/>
              </w:rPr>
            </w:pPr>
            <w:r>
              <w:rPr>
                <w:rFonts w:ascii="宋体" w:hAnsi="宋体" w:hint="eastAsia"/>
                <w:b/>
                <w:color w:val="000000"/>
                <w:sz w:val="18"/>
              </w:rPr>
              <w:t>招聘岗位</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EA0748" w:rsidRDefault="00361F16">
            <w:pPr>
              <w:jc w:val="center"/>
              <w:rPr>
                <w:rFonts w:ascii="宋体" w:hAnsi="宋体"/>
                <w:b/>
                <w:color w:val="000000"/>
                <w:sz w:val="18"/>
              </w:rPr>
            </w:pPr>
            <w:r>
              <w:rPr>
                <w:rFonts w:ascii="宋体" w:hAnsi="宋体" w:hint="eastAsia"/>
                <w:b/>
                <w:color w:val="000000"/>
                <w:sz w:val="18"/>
              </w:rPr>
              <w:t>人数</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EA0748" w:rsidRDefault="00361F16">
            <w:pPr>
              <w:jc w:val="center"/>
              <w:rPr>
                <w:rFonts w:ascii="宋体" w:hAnsi="宋体"/>
                <w:b/>
                <w:color w:val="000000"/>
                <w:sz w:val="18"/>
              </w:rPr>
            </w:pPr>
            <w:r>
              <w:rPr>
                <w:rFonts w:ascii="宋体" w:hAnsi="宋体" w:hint="eastAsia"/>
                <w:b/>
                <w:color w:val="000000"/>
                <w:sz w:val="18"/>
              </w:rPr>
              <w:t>工作地点</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EA0748" w:rsidRDefault="00361F16">
            <w:pPr>
              <w:jc w:val="center"/>
              <w:rPr>
                <w:rFonts w:ascii="宋体" w:hAnsi="宋体"/>
                <w:b/>
                <w:color w:val="000000"/>
                <w:sz w:val="18"/>
              </w:rPr>
            </w:pPr>
            <w:r>
              <w:rPr>
                <w:rFonts w:ascii="宋体" w:hAnsi="宋体" w:hint="eastAsia"/>
                <w:b/>
                <w:color w:val="000000"/>
                <w:sz w:val="18"/>
              </w:rPr>
              <w:t>学历要求</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EA0748" w:rsidRDefault="00361F16">
            <w:pPr>
              <w:jc w:val="center"/>
              <w:rPr>
                <w:rFonts w:ascii="宋体" w:hAnsi="宋体"/>
                <w:b/>
                <w:color w:val="000000"/>
                <w:sz w:val="18"/>
              </w:rPr>
            </w:pPr>
            <w:r>
              <w:rPr>
                <w:rFonts w:ascii="宋体" w:hAnsi="宋体" w:hint="eastAsia"/>
                <w:b/>
                <w:color w:val="000000"/>
                <w:sz w:val="18"/>
              </w:rPr>
              <w:t>专业类要求</w:t>
            </w:r>
          </w:p>
        </w:tc>
      </w:tr>
      <w:tr w:rsidR="00912123">
        <w:trPr>
          <w:trHeight w:val="610"/>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化工（化纤）研发</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2</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博研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高分子化学与物理、化学工程与技术、材料科学与工程、高分子材料与工程、材料与化工等相关专业</w:t>
            </w:r>
          </w:p>
        </w:tc>
      </w:tr>
      <w:tr w:rsidR="00912123">
        <w:trPr>
          <w:trHeight w:val="930"/>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2</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化工化纤技术A</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10</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硕研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高分子化学与物理、化学工程与技术、化学工程、化学工艺、高分子材料与工程、材料工程、材料科学与工程、材料与化工、纺织科学与工程、纺织工程等相关专业</w:t>
            </w:r>
          </w:p>
        </w:tc>
      </w:tr>
      <w:tr w:rsidR="00912123">
        <w:trPr>
          <w:trHeight w:val="988"/>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3</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化工化纤技术B</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7</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高分子化学与物理、应用化学、化学工程与工艺、精细化工、纺织工程、材料科学与工程、材料物理、材料化学、高分子材料与工程、复合材料与工程、复合材料成型工程等相关专业</w:t>
            </w:r>
          </w:p>
        </w:tc>
      </w:tr>
      <w:tr w:rsidR="00912123">
        <w:trPr>
          <w:trHeight w:val="835"/>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lastRenderedPageBreak/>
              <w:t>4</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设备技术A</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10</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硕研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机械工程、机械制造及其自动化、动力工程、过程装备与控制工程、动力工程及工程热物理、动力机械及工程、化工过程机械等相关专业</w:t>
            </w:r>
          </w:p>
        </w:tc>
      </w:tr>
      <w:tr w:rsidR="00912123">
        <w:trPr>
          <w:trHeight w:val="907"/>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5</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设备技术B</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8</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工程力学、机械工程、机械设计制造及其自动化、材料成型及控制工程、机械电子工程、过程装备与控制工程、机械工艺技术、智能制造工程等相关专业</w:t>
            </w:r>
          </w:p>
        </w:tc>
      </w:tr>
      <w:tr w:rsidR="00912123">
        <w:trPr>
          <w:trHeight w:val="1007"/>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6</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电仪技术A</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10</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硕研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电气工程、电力系统及其自动化、电气工程及其自动化、自动化、测控技术与仪器、控制工程、控制科学与工程、控制理论与控制工程、检测技术与自动化装置等相关专业</w:t>
            </w:r>
          </w:p>
        </w:tc>
      </w:tr>
      <w:tr w:rsidR="00912123">
        <w:trPr>
          <w:trHeight w:val="610"/>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7</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电仪技术B</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7</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电气工程及其自动化、电气工程与智能控制、自动化、测控技术与仪器等</w:t>
            </w:r>
          </w:p>
        </w:tc>
      </w:tr>
      <w:tr w:rsidR="00912123">
        <w:trPr>
          <w:trHeight w:val="573"/>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8</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自备热电厂技术</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热能工程、热能与动力工程、能源与动力工程等相关专业</w:t>
            </w:r>
          </w:p>
        </w:tc>
      </w:tr>
      <w:tr w:rsidR="00912123">
        <w:trPr>
          <w:trHeight w:val="573"/>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9</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安全环保A</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3</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硕研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安全科学与工程、安全工程、环境科学与工程、环境工程等</w:t>
            </w:r>
          </w:p>
        </w:tc>
      </w:tr>
      <w:tr w:rsidR="00912123">
        <w:trPr>
          <w:trHeight w:val="610"/>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10</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安全环保B</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2</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化工安全工程、环境科学与工程、环境工程、环境科学、安全工程、应急技术与管理、职业卫生工程等相关专业</w:t>
            </w:r>
          </w:p>
        </w:tc>
      </w:tr>
      <w:tr w:rsidR="00912123">
        <w:trPr>
          <w:trHeight w:val="573"/>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11</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工程管理</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土木工程、工程管理、工程造价等相关专业</w:t>
            </w:r>
          </w:p>
        </w:tc>
      </w:tr>
      <w:tr w:rsidR="00912123">
        <w:trPr>
          <w:trHeight w:val="573"/>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12</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信息技术</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4</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硕研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信息与通信工程、计算机科学与技术等相关专业</w:t>
            </w:r>
          </w:p>
        </w:tc>
      </w:tr>
      <w:tr w:rsidR="00912123">
        <w:trPr>
          <w:trHeight w:val="573"/>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13</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物流管理</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4</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物流管理、物流工程、釆购管理、供应链管理等相关专业</w:t>
            </w:r>
          </w:p>
        </w:tc>
      </w:tr>
      <w:tr w:rsidR="00912123">
        <w:trPr>
          <w:trHeight w:val="573"/>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14</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综合管理A</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4</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硕研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工商管理、人力资源管理、企业管理等相关专业</w:t>
            </w:r>
          </w:p>
        </w:tc>
      </w:tr>
      <w:tr w:rsidR="00912123">
        <w:trPr>
          <w:trHeight w:val="644"/>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15</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综合管理B</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3</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人力资源管理、工商管理、劳动关系等相关专业</w:t>
            </w:r>
          </w:p>
        </w:tc>
      </w:tr>
      <w:tr w:rsidR="00912123">
        <w:trPr>
          <w:trHeight w:val="644"/>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16</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新闻宣传</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2</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新闻学、传播学、网络与新媒体等相关专业</w:t>
            </w:r>
          </w:p>
        </w:tc>
      </w:tr>
      <w:tr w:rsidR="00912123">
        <w:trPr>
          <w:trHeight w:val="644"/>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17</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行政管理</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3</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硕研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哲学、思想政治教育、马克思主义理论、汉语言文学、行政管理等相关专业</w:t>
            </w:r>
          </w:p>
        </w:tc>
      </w:tr>
      <w:tr w:rsidR="00912123">
        <w:trPr>
          <w:trHeight w:val="644"/>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18</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计划统计</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统计学、应用统计学</w:t>
            </w:r>
          </w:p>
        </w:tc>
      </w:tr>
      <w:tr w:rsidR="00912123">
        <w:trPr>
          <w:trHeight w:val="644"/>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19</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审计</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审计学</w:t>
            </w:r>
          </w:p>
        </w:tc>
      </w:tr>
      <w:tr w:rsidR="00912123">
        <w:trPr>
          <w:trHeight w:val="644"/>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20</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档案管理</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档案学</w:t>
            </w:r>
          </w:p>
        </w:tc>
      </w:tr>
      <w:tr w:rsidR="00912123">
        <w:trPr>
          <w:trHeight w:val="573"/>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21</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财务管理</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5</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硕研</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会计、金融</w:t>
            </w:r>
          </w:p>
        </w:tc>
      </w:tr>
      <w:tr w:rsidR="00912123">
        <w:trPr>
          <w:trHeight w:val="740"/>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22</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外事管理</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1</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本科</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Default="00912123">
            <w:pPr>
              <w:jc w:val="center"/>
              <w:rPr>
                <w:rFonts w:ascii="宋体" w:hAnsi="宋体"/>
                <w:color w:val="000000"/>
                <w:sz w:val="18"/>
              </w:rPr>
            </w:pPr>
            <w:r>
              <w:rPr>
                <w:rFonts w:ascii="宋体" w:hAnsi="宋体" w:hint="eastAsia"/>
                <w:color w:val="000000"/>
                <w:sz w:val="18"/>
              </w:rPr>
              <w:t>英语、商务英语、翻译</w:t>
            </w:r>
          </w:p>
        </w:tc>
      </w:tr>
      <w:tr w:rsidR="00912123">
        <w:trPr>
          <w:trHeight w:val="2693"/>
          <w:jc w:val="center"/>
        </w:trPr>
        <w:tc>
          <w:tcPr>
            <w:tcW w:w="628" w:type="dxa"/>
            <w:tcBorders>
              <w:top w:val="single" w:sz="6" w:space="0" w:color="auto"/>
              <w:left w:val="single" w:sz="6" w:space="0" w:color="auto"/>
              <w:bottom w:val="single" w:sz="6" w:space="0" w:color="auto"/>
              <w:right w:val="single" w:sz="6" w:space="0" w:color="auto"/>
              <w:tl2br w:val="nil"/>
              <w:tr2bl w:val="nil"/>
            </w:tcBorders>
            <w:vAlign w:val="center"/>
          </w:tcPr>
          <w:p w:rsidR="00912123" w:rsidRPr="004A381E" w:rsidRDefault="00912123">
            <w:pPr>
              <w:jc w:val="center"/>
              <w:rPr>
                <w:rFonts w:ascii="宋体" w:hAnsi="宋体"/>
                <w:color w:val="000000"/>
                <w:sz w:val="18"/>
              </w:rPr>
            </w:pPr>
            <w:r w:rsidRPr="004A381E">
              <w:rPr>
                <w:rFonts w:ascii="宋体" w:hAnsi="宋体" w:hint="eastAsia"/>
                <w:color w:val="000000"/>
                <w:sz w:val="18"/>
              </w:rPr>
              <w:lastRenderedPageBreak/>
              <w:t>23</w:t>
            </w:r>
          </w:p>
        </w:tc>
        <w:tc>
          <w:tcPr>
            <w:tcW w:w="1488" w:type="dxa"/>
            <w:tcBorders>
              <w:top w:val="single" w:sz="6" w:space="0" w:color="auto"/>
              <w:left w:val="single" w:sz="6" w:space="0" w:color="auto"/>
              <w:bottom w:val="single" w:sz="6" w:space="0" w:color="auto"/>
              <w:right w:val="single" w:sz="6" w:space="0" w:color="auto"/>
              <w:tl2br w:val="nil"/>
              <w:tr2bl w:val="nil"/>
            </w:tcBorders>
            <w:vAlign w:val="center"/>
          </w:tcPr>
          <w:p w:rsidR="00912123" w:rsidRPr="004A381E" w:rsidRDefault="00912123">
            <w:pPr>
              <w:jc w:val="center"/>
              <w:rPr>
                <w:rFonts w:ascii="宋体" w:hAnsi="宋体"/>
                <w:color w:val="000000"/>
                <w:sz w:val="18"/>
              </w:rPr>
            </w:pPr>
            <w:r w:rsidRPr="004A381E">
              <w:rPr>
                <w:rFonts w:ascii="宋体" w:hAnsi="宋体" w:hint="eastAsia"/>
                <w:color w:val="000000"/>
                <w:sz w:val="18"/>
              </w:rPr>
              <w:t>化工（化纤）</w:t>
            </w:r>
          </w:p>
          <w:p w:rsidR="00912123" w:rsidRPr="004A381E" w:rsidRDefault="00912123">
            <w:pPr>
              <w:jc w:val="center"/>
              <w:rPr>
                <w:rFonts w:ascii="宋体" w:hAnsi="宋体"/>
                <w:color w:val="000000"/>
                <w:sz w:val="18"/>
              </w:rPr>
            </w:pPr>
            <w:r w:rsidRPr="004A381E">
              <w:rPr>
                <w:rFonts w:ascii="宋体" w:hAnsi="宋体" w:hint="eastAsia"/>
                <w:color w:val="000000"/>
                <w:sz w:val="18"/>
              </w:rPr>
              <w:t>装置储备</w:t>
            </w:r>
          </w:p>
        </w:tc>
        <w:tc>
          <w:tcPr>
            <w:tcW w:w="538" w:type="dxa"/>
            <w:tcBorders>
              <w:top w:val="single" w:sz="6" w:space="0" w:color="auto"/>
              <w:left w:val="single" w:sz="6" w:space="0" w:color="auto"/>
              <w:bottom w:val="single" w:sz="6" w:space="0" w:color="auto"/>
              <w:right w:val="single" w:sz="6" w:space="0" w:color="auto"/>
              <w:tl2br w:val="nil"/>
              <w:tr2bl w:val="nil"/>
            </w:tcBorders>
            <w:vAlign w:val="center"/>
          </w:tcPr>
          <w:p w:rsidR="00912123" w:rsidRPr="004A381E" w:rsidRDefault="00912123">
            <w:pPr>
              <w:jc w:val="center"/>
              <w:rPr>
                <w:rFonts w:ascii="宋体" w:hAnsi="宋体"/>
                <w:color w:val="000000"/>
                <w:sz w:val="18"/>
              </w:rPr>
            </w:pPr>
            <w:r w:rsidRPr="004A381E">
              <w:rPr>
                <w:rFonts w:ascii="宋体" w:hAnsi="宋体" w:hint="eastAsia"/>
                <w:color w:val="000000"/>
                <w:sz w:val="18"/>
              </w:rPr>
              <w:t>120</w:t>
            </w:r>
          </w:p>
        </w:tc>
        <w:tc>
          <w:tcPr>
            <w:tcW w:w="885" w:type="dxa"/>
            <w:tcBorders>
              <w:top w:val="single" w:sz="6" w:space="0" w:color="auto"/>
              <w:left w:val="single" w:sz="6" w:space="0" w:color="auto"/>
              <w:bottom w:val="single" w:sz="6" w:space="0" w:color="auto"/>
              <w:right w:val="single" w:sz="6" w:space="0" w:color="auto"/>
              <w:tl2br w:val="nil"/>
              <w:tr2bl w:val="nil"/>
            </w:tcBorders>
            <w:vAlign w:val="center"/>
          </w:tcPr>
          <w:p w:rsidR="00912123" w:rsidRPr="004A381E" w:rsidRDefault="00912123">
            <w:pPr>
              <w:jc w:val="center"/>
              <w:rPr>
                <w:rFonts w:ascii="宋体" w:hAnsi="宋体"/>
                <w:color w:val="000000"/>
                <w:sz w:val="18"/>
              </w:rPr>
            </w:pPr>
            <w:r w:rsidRPr="004A381E">
              <w:rPr>
                <w:rFonts w:ascii="宋体" w:hAnsi="宋体" w:hint="eastAsia"/>
                <w:color w:val="000000"/>
                <w:sz w:val="18"/>
              </w:rPr>
              <w:t>江苏仪征</w:t>
            </w:r>
          </w:p>
        </w:tc>
        <w:tc>
          <w:tcPr>
            <w:tcW w:w="1039" w:type="dxa"/>
            <w:tcBorders>
              <w:top w:val="single" w:sz="6" w:space="0" w:color="auto"/>
              <w:left w:val="single" w:sz="6" w:space="0" w:color="auto"/>
              <w:bottom w:val="single" w:sz="6" w:space="0" w:color="auto"/>
              <w:right w:val="single" w:sz="6" w:space="0" w:color="auto"/>
              <w:tl2br w:val="nil"/>
              <w:tr2bl w:val="nil"/>
            </w:tcBorders>
            <w:vAlign w:val="center"/>
          </w:tcPr>
          <w:p w:rsidR="00912123" w:rsidRPr="004A381E" w:rsidRDefault="00912123">
            <w:pPr>
              <w:jc w:val="center"/>
              <w:rPr>
                <w:rFonts w:ascii="宋体" w:hAnsi="宋体"/>
                <w:color w:val="000000"/>
                <w:sz w:val="18"/>
              </w:rPr>
            </w:pPr>
            <w:r w:rsidRPr="004A381E">
              <w:rPr>
                <w:rFonts w:ascii="宋体" w:hAnsi="宋体" w:hint="eastAsia"/>
                <w:color w:val="000000"/>
                <w:sz w:val="18"/>
              </w:rPr>
              <w:t>大专（高职）</w:t>
            </w:r>
          </w:p>
        </w:tc>
        <w:tc>
          <w:tcPr>
            <w:tcW w:w="4799" w:type="dxa"/>
            <w:tcBorders>
              <w:top w:val="single" w:sz="6" w:space="0" w:color="auto"/>
              <w:left w:val="single" w:sz="6" w:space="0" w:color="auto"/>
              <w:bottom w:val="single" w:sz="6" w:space="0" w:color="auto"/>
              <w:right w:val="single" w:sz="6" w:space="0" w:color="auto"/>
              <w:tl2br w:val="nil"/>
              <w:tr2bl w:val="nil"/>
            </w:tcBorders>
            <w:vAlign w:val="center"/>
          </w:tcPr>
          <w:p w:rsidR="00912123" w:rsidRPr="004A381E" w:rsidRDefault="00912123">
            <w:pPr>
              <w:jc w:val="center"/>
              <w:rPr>
                <w:rFonts w:ascii="宋体" w:hAnsi="宋体"/>
                <w:color w:val="000000"/>
                <w:sz w:val="18"/>
              </w:rPr>
            </w:pPr>
            <w:r w:rsidRPr="004A381E">
              <w:rPr>
                <w:rFonts w:ascii="宋体" w:hAnsi="宋体" w:hint="eastAsia"/>
                <w:color w:val="000000"/>
                <w:sz w:val="18"/>
              </w:rPr>
              <w:t>石油工程技术、环境工程技术、化工安全技术、电厂化学与环保技术、机械设计与制造、机械制造及自动化、材料成型及控制技术、机械装备制造技术、智能制造装备技术、机电设备技术、电机与电器技术、制冷与空调技术、机电一体化技术、智能控制技术、工业机器人技术、电气自动化技术、工业过程自动化技术、工业自动化仪表技术、液压与气动技术、应用化工技术、石油炼制技术、精细化工技术、石油化工技术、高分子合成技术、化学制药技术、药品生产技术、分析检验技术、化工智能制造技术、化工装备技术、化工自动化技术、化纤生产技术等相关专业</w:t>
            </w:r>
          </w:p>
        </w:tc>
      </w:tr>
      <w:tr w:rsidR="00912123">
        <w:trPr>
          <w:trHeight w:val="473"/>
          <w:jc w:val="center"/>
        </w:trPr>
        <w:tc>
          <w:tcPr>
            <w:tcW w:w="628" w:type="dxa"/>
            <w:tcBorders>
              <w:top w:val="single" w:sz="6" w:space="0" w:color="auto"/>
              <w:left w:val="single" w:sz="6" w:space="0" w:color="auto"/>
              <w:bottom w:val="single" w:sz="6" w:space="0" w:color="auto"/>
              <w:right w:val="nil"/>
              <w:tl2br w:val="nil"/>
              <w:tr2bl w:val="nil"/>
            </w:tcBorders>
          </w:tcPr>
          <w:p w:rsidR="00912123" w:rsidRDefault="00912123">
            <w:pPr>
              <w:jc w:val="center"/>
              <w:rPr>
                <w:rFonts w:ascii="宋体" w:hAnsi="宋体"/>
                <w:color w:val="000000"/>
                <w:sz w:val="18"/>
              </w:rPr>
            </w:pPr>
            <w:r>
              <w:rPr>
                <w:rFonts w:ascii="宋体" w:hAnsi="宋体" w:hint="eastAsia"/>
                <w:color w:val="000000"/>
                <w:sz w:val="18"/>
              </w:rPr>
              <w:t>合计</w:t>
            </w:r>
          </w:p>
        </w:tc>
        <w:tc>
          <w:tcPr>
            <w:tcW w:w="1488" w:type="dxa"/>
            <w:tcBorders>
              <w:top w:val="single" w:sz="6" w:space="0" w:color="auto"/>
              <w:left w:val="nil"/>
              <w:bottom w:val="single" w:sz="6" w:space="0" w:color="auto"/>
              <w:right w:val="single" w:sz="6" w:space="0" w:color="auto"/>
              <w:tl2br w:val="nil"/>
              <w:tr2bl w:val="nil"/>
            </w:tcBorders>
          </w:tcPr>
          <w:p w:rsidR="00912123" w:rsidRDefault="00912123">
            <w:pPr>
              <w:jc w:val="center"/>
              <w:rPr>
                <w:rFonts w:ascii="宋体" w:hAnsi="宋体"/>
                <w:color w:val="000000"/>
                <w:sz w:val="18"/>
              </w:rPr>
            </w:pPr>
            <w:bookmarkStart w:id="0" w:name="_GoBack"/>
            <w:bookmarkEnd w:id="0"/>
          </w:p>
        </w:tc>
        <w:tc>
          <w:tcPr>
            <w:tcW w:w="538" w:type="dxa"/>
            <w:tcBorders>
              <w:top w:val="single" w:sz="6" w:space="0" w:color="auto"/>
              <w:left w:val="single" w:sz="6" w:space="0" w:color="auto"/>
              <w:bottom w:val="single" w:sz="6" w:space="0" w:color="auto"/>
              <w:right w:val="single" w:sz="6" w:space="0" w:color="auto"/>
              <w:tl2br w:val="nil"/>
              <w:tr2bl w:val="nil"/>
            </w:tcBorders>
          </w:tcPr>
          <w:p w:rsidR="00912123" w:rsidRDefault="00912123">
            <w:pPr>
              <w:jc w:val="center"/>
              <w:rPr>
                <w:rFonts w:ascii="宋体" w:hAnsi="宋体"/>
                <w:color w:val="000000"/>
                <w:sz w:val="18"/>
              </w:rPr>
            </w:pPr>
            <w:r>
              <w:rPr>
                <w:rFonts w:ascii="宋体" w:hAnsi="宋体" w:hint="eastAsia"/>
                <w:color w:val="000000"/>
                <w:sz w:val="18"/>
              </w:rPr>
              <w:t>210</w:t>
            </w:r>
          </w:p>
        </w:tc>
        <w:tc>
          <w:tcPr>
            <w:tcW w:w="885" w:type="dxa"/>
            <w:tcBorders>
              <w:top w:val="single" w:sz="6" w:space="0" w:color="auto"/>
              <w:left w:val="single" w:sz="6" w:space="0" w:color="auto"/>
              <w:bottom w:val="single" w:sz="6" w:space="0" w:color="auto"/>
              <w:right w:val="single" w:sz="6" w:space="0" w:color="auto"/>
              <w:tl2br w:val="nil"/>
              <w:tr2bl w:val="nil"/>
            </w:tcBorders>
          </w:tcPr>
          <w:p w:rsidR="00912123" w:rsidRDefault="00912123">
            <w:pPr>
              <w:jc w:val="center"/>
              <w:rPr>
                <w:rFonts w:ascii="宋体" w:hAnsi="宋体"/>
                <w:color w:val="000000"/>
                <w:sz w:val="18"/>
              </w:rPr>
            </w:pPr>
          </w:p>
        </w:tc>
        <w:tc>
          <w:tcPr>
            <w:tcW w:w="1039" w:type="dxa"/>
            <w:tcBorders>
              <w:top w:val="single" w:sz="6" w:space="0" w:color="auto"/>
              <w:left w:val="single" w:sz="6" w:space="0" w:color="auto"/>
              <w:bottom w:val="single" w:sz="6" w:space="0" w:color="auto"/>
              <w:right w:val="single" w:sz="6" w:space="0" w:color="auto"/>
              <w:tl2br w:val="nil"/>
              <w:tr2bl w:val="nil"/>
            </w:tcBorders>
          </w:tcPr>
          <w:p w:rsidR="00912123" w:rsidRDefault="00912123">
            <w:pPr>
              <w:jc w:val="center"/>
              <w:rPr>
                <w:rFonts w:ascii="宋体" w:hAnsi="宋体"/>
                <w:color w:val="000000"/>
                <w:sz w:val="18"/>
              </w:rPr>
            </w:pPr>
          </w:p>
        </w:tc>
        <w:tc>
          <w:tcPr>
            <w:tcW w:w="4799" w:type="dxa"/>
            <w:tcBorders>
              <w:top w:val="single" w:sz="6" w:space="0" w:color="auto"/>
              <w:left w:val="single" w:sz="6" w:space="0" w:color="auto"/>
              <w:bottom w:val="single" w:sz="6" w:space="0" w:color="auto"/>
              <w:right w:val="single" w:sz="6" w:space="0" w:color="auto"/>
              <w:tl2br w:val="nil"/>
              <w:tr2bl w:val="nil"/>
            </w:tcBorders>
          </w:tcPr>
          <w:p w:rsidR="00912123" w:rsidRDefault="00912123">
            <w:pPr>
              <w:jc w:val="center"/>
              <w:rPr>
                <w:rFonts w:ascii="宋体" w:hAnsi="宋体"/>
                <w:color w:val="000000"/>
                <w:sz w:val="18"/>
              </w:rPr>
            </w:pPr>
          </w:p>
        </w:tc>
      </w:tr>
    </w:tbl>
    <w:p w:rsidR="00EA0748" w:rsidRDefault="00361F16">
      <w:pPr>
        <w:widowControl/>
        <w:spacing w:line="360" w:lineRule="auto"/>
        <w:ind w:firstLineChars="200" w:firstLine="640"/>
        <w:rPr>
          <w:rFonts w:ascii="黑体" w:eastAsia="黑体" w:hAnsi="宋体"/>
          <w:kern w:val="0"/>
          <w:sz w:val="32"/>
          <w:szCs w:val="32"/>
        </w:rPr>
      </w:pPr>
      <w:r>
        <w:rPr>
          <w:rFonts w:ascii="黑体" w:eastAsia="黑体" w:hAnsi="宋体" w:hint="eastAsia"/>
          <w:kern w:val="0"/>
          <w:sz w:val="32"/>
          <w:szCs w:val="32"/>
        </w:rPr>
        <w:t>三、薪酬福利</w:t>
      </w:r>
    </w:p>
    <w:p w:rsidR="00EA0748" w:rsidRDefault="00361F16">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1.成长发展：人才成长通道、职业生涯规划指导、师带徒（“双导师”制）；</w:t>
      </w:r>
    </w:p>
    <w:p w:rsidR="00EA0748" w:rsidRDefault="00361F16">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2.住房保障：单间公寓（独立卫浴、空调、暖气）、住房补贴；</w:t>
      </w:r>
    </w:p>
    <w:p w:rsidR="00EA0748" w:rsidRDefault="00361F16">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3.薪酬保险：执行中国石化统一薪酬政策，基本工资、月度绩效奖、年终奖、津贴、五险一金+企业年金+补充医疗保险；</w:t>
      </w:r>
    </w:p>
    <w:p w:rsidR="00EA0748" w:rsidRDefault="00361F16">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4.员工关怀：高温补贴、就餐补贴、健康体检、困难救助、节日慰问；</w:t>
      </w:r>
    </w:p>
    <w:p w:rsidR="00EA0748" w:rsidRDefault="00361F16">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5.劳逸结合：带薪年假、探亲假、疗休养。</w:t>
      </w:r>
    </w:p>
    <w:p w:rsidR="00EA0748" w:rsidRDefault="00361F16">
      <w:pPr>
        <w:spacing w:line="360" w:lineRule="auto"/>
        <w:ind w:firstLineChars="200" w:firstLine="640"/>
        <w:rPr>
          <w:rFonts w:eastAsia="仿宋_GB2312"/>
          <w:sz w:val="32"/>
          <w:szCs w:val="32"/>
        </w:rPr>
      </w:pPr>
      <w:r>
        <w:rPr>
          <w:rFonts w:ascii="黑体" w:eastAsia="黑体" w:hAnsi="宋体" w:hint="eastAsia"/>
          <w:kern w:val="0"/>
          <w:sz w:val="32"/>
          <w:szCs w:val="32"/>
        </w:rPr>
        <w:t>四、员工发展</w:t>
      </w:r>
    </w:p>
    <w:p w:rsidR="00EA0748" w:rsidRDefault="00361F16">
      <w:pPr>
        <w:spacing w:line="360" w:lineRule="auto"/>
        <w:ind w:firstLineChars="200" w:firstLine="640"/>
        <w:rPr>
          <w:rFonts w:eastAsia="仿宋_GB2312"/>
          <w:sz w:val="32"/>
          <w:szCs w:val="32"/>
        </w:rPr>
      </w:pPr>
      <w:r>
        <w:rPr>
          <w:rFonts w:eastAsia="仿宋_GB2312" w:hint="eastAsia"/>
          <w:sz w:val="32"/>
          <w:szCs w:val="32"/>
        </w:rPr>
        <w:t>公司关注员工职业发展，注重建立企业与职工的战略伙伴关系，努力实现个人与组织的共同成长，建立了管理序列人才从基层管理人员到中层领导人员、公司领导的成长通道；专业技术序列从技术员到正副主任师、专家、高级专家、首</w:t>
      </w:r>
      <w:r>
        <w:rPr>
          <w:rFonts w:eastAsia="仿宋_GB2312" w:hint="eastAsia"/>
          <w:sz w:val="32"/>
          <w:szCs w:val="32"/>
        </w:rPr>
        <w:lastRenderedPageBreak/>
        <w:t>席专家的成长通道；技能操作序列从初级工到中级工、高级工、技师、主管技师、主任技师、首席技师的成长通道。三支队伍序列既可纵向晋升，又可横向贯通，</w:t>
      </w:r>
      <w:r>
        <w:rPr>
          <w:rFonts w:eastAsia="仿宋_GB2312"/>
          <w:sz w:val="32"/>
          <w:szCs w:val="32"/>
        </w:rPr>
        <w:t>为人才发展提供</w:t>
      </w:r>
      <w:r>
        <w:rPr>
          <w:rFonts w:eastAsia="仿宋_GB2312" w:hint="eastAsia"/>
          <w:sz w:val="32"/>
          <w:szCs w:val="32"/>
        </w:rPr>
        <w:t>广阔</w:t>
      </w:r>
      <w:r>
        <w:rPr>
          <w:rFonts w:eastAsia="仿宋_GB2312"/>
          <w:sz w:val="32"/>
          <w:szCs w:val="32"/>
        </w:rPr>
        <w:t>的舞台。</w:t>
      </w:r>
    </w:p>
    <w:p w:rsidR="00EA0748" w:rsidRDefault="00361F16">
      <w:pPr>
        <w:widowControl/>
        <w:spacing w:line="360" w:lineRule="auto"/>
        <w:ind w:firstLineChars="200" w:firstLine="640"/>
        <w:rPr>
          <w:rFonts w:ascii="黑体" w:eastAsia="黑体" w:hAnsi="宋体"/>
          <w:kern w:val="0"/>
          <w:sz w:val="32"/>
          <w:szCs w:val="32"/>
        </w:rPr>
      </w:pPr>
      <w:r>
        <w:rPr>
          <w:rFonts w:ascii="黑体" w:eastAsia="黑体" w:hAnsi="宋体" w:hint="eastAsia"/>
          <w:kern w:val="0"/>
          <w:sz w:val="32"/>
          <w:szCs w:val="32"/>
        </w:rPr>
        <w:t>五、招聘要求</w:t>
      </w:r>
    </w:p>
    <w:p w:rsidR="00EA0748" w:rsidRDefault="00361F16">
      <w:pPr>
        <w:spacing w:line="360" w:lineRule="auto"/>
        <w:ind w:firstLineChars="200" w:firstLine="640"/>
        <w:rPr>
          <w:rFonts w:ascii="仿宋_GB2312" w:eastAsia="仿宋_GB2312"/>
          <w:sz w:val="32"/>
          <w:szCs w:val="32"/>
        </w:rPr>
      </w:pPr>
      <w:r>
        <w:rPr>
          <w:rFonts w:ascii="仿宋_GB2312" w:eastAsia="仿宋_GB2312" w:hint="eastAsia"/>
          <w:sz w:val="32"/>
          <w:szCs w:val="32"/>
        </w:rPr>
        <w:t>1.2023年全国普通高等院校统招统分应届毕业生（定向、委培除外），回国（境）后初次就业且具有教育部留学服务中心派遣资格的国（境）外留学生（毕业时间在2022年1月1日至2023年12月31日期间）；</w:t>
      </w:r>
    </w:p>
    <w:p w:rsidR="00EA0748" w:rsidRDefault="00361F16">
      <w:pPr>
        <w:spacing w:line="360" w:lineRule="auto"/>
        <w:ind w:firstLineChars="200" w:firstLine="640"/>
        <w:rPr>
          <w:rFonts w:ascii="仿宋_GB2312" w:eastAsia="仿宋_GB2312"/>
          <w:sz w:val="32"/>
          <w:szCs w:val="32"/>
        </w:rPr>
      </w:pPr>
      <w:r>
        <w:rPr>
          <w:rFonts w:ascii="仿宋_GB2312" w:eastAsia="仿宋_GB2312" w:hint="eastAsia"/>
          <w:sz w:val="32"/>
          <w:szCs w:val="32"/>
        </w:rPr>
        <w:t>2.本科CET-4成绩不低于425分、硕研CET-6成绩不低于425分；</w:t>
      </w:r>
    </w:p>
    <w:p w:rsidR="00EA0748" w:rsidRDefault="00361F16">
      <w:pPr>
        <w:spacing w:line="360" w:lineRule="auto"/>
        <w:ind w:firstLineChars="200" w:firstLine="640"/>
        <w:rPr>
          <w:rFonts w:ascii="仿宋_GB2312" w:eastAsia="仿宋_GB2312"/>
          <w:sz w:val="32"/>
          <w:szCs w:val="32"/>
        </w:rPr>
      </w:pPr>
      <w:r>
        <w:rPr>
          <w:rFonts w:ascii="仿宋_GB2312" w:eastAsia="仿宋_GB2312" w:hint="eastAsia"/>
          <w:sz w:val="32"/>
          <w:szCs w:val="32"/>
        </w:rPr>
        <w:t>3.遵纪守法，品行端正，团结协作，无不良行为记录，热爱石油石化事业，认同中国石化企业文化和价值观;</w:t>
      </w:r>
    </w:p>
    <w:p w:rsidR="00EA0748" w:rsidRDefault="00361F16">
      <w:pPr>
        <w:spacing w:line="360" w:lineRule="auto"/>
        <w:ind w:firstLineChars="200" w:firstLine="640"/>
        <w:rPr>
          <w:rFonts w:ascii="仿宋_GB2312" w:eastAsia="仿宋_GB2312"/>
          <w:sz w:val="32"/>
          <w:szCs w:val="32"/>
        </w:rPr>
      </w:pPr>
      <w:r>
        <w:rPr>
          <w:rFonts w:ascii="仿宋_GB2312" w:eastAsia="仿宋_GB2312" w:hint="eastAsia"/>
          <w:sz w:val="32"/>
          <w:szCs w:val="32"/>
        </w:rPr>
        <w:t>4.身心健康，能适应岗位工作需要。</w:t>
      </w:r>
    </w:p>
    <w:p w:rsidR="00EA0748" w:rsidRDefault="00361F16">
      <w:pPr>
        <w:widowControl/>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六、招聘程序</w:t>
      </w:r>
    </w:p>
    <w:p w:rsidR="00EA0748" w:rsidRDefault="00361F16">
      <w:pPr>
        <w:spacing w:line="360" w:lineRule="auto"/>
        <w:rPr>
          <w:rFonts w:ascii="仿宋_GB2312" w:eastAsia="仿宋_GB2312"/>
          <w:sz w:val="32"/>
          <w:szCs w:val="32"/>
        </w:rPr>
      </w:pPr>
      <w:r>
        <w:rPr>
          <w:noProof/>
        </w:rPr>
        <w:drawing>
          <wp:inline distT="0" distB="0" distL="114300" distR="114300">
            <wp:extent cx="5361305" cy="1985010"/>
            <wp:effectExtent l="0" t="0" r="1079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5361305" cy="1985010"/>
                    </a:xfrm>
                    <a:prstGeom prst="rect">
                      <a:avLst/>
                    </a:prstGeom>
                    <a:noFill/>
                    <a:ln>
                      <a:noFill/>
                    </a:ln>
                  </pic:spPr>
                </pic:pic>
              </a:graphicData>
            </a:graphic>
          </wp:inline>
        </w:drawing>
      </w:r>
    </w:p>
    <w:p w:rsidR="00EA0748" w:rsidRDefault="00361F16">
      <w:pPr>
        <w:spacing w:line="360" w:lineRule="auto"/>
        <w:ind w:firstLineChars="200" w:firstLine="640"/>
        <w:rPr>
          <w:rFonts w:ascii="仿宋_GB2312" w:eastAsia="仿宋_GB2312"/>
          <w:sz w:val="32"/>
          <w:szCs w:val="32"/>
        </w:rPr>
      </w:pPr>
      <w:r>
        <w:rPr>
          <w:rFonts w:ascii="仿宋_GB2312" w:eastAsia="仿宋_GB2312" w:hint="eastAsia"/>
          <w:sz w:val="32"/>
          <w:szCs w:val="32"/>
        </w:rPr>
        <w:t>登录中国石化招聘网站：http://job.sinopec.com，点击【校园招聘】，注册后，在【炼化企业】中应聘【仪征化</w:t>
      </w:r>
      <w:r>
        <w:rPr>
          <w:rFonts w:ascii="仿宋_GB2312" w:eastAsia="仿宋_GB2312" w:hint="eastAsia"/>
          <w:sz w:val="32"/>
          <w:szCs w:val="32"/>
        </w:rPr>
        <w:lastRenderedPageBreak/>
        <w:t>纤】。</w:t>
      </w:r>
    </w:p>
    <w:p w:rsidR="00EA0748" w:rsidRDefault="00361F16">
      <w:pPr>
        <w:spacing w:line="360" w:lineRule="auto"/>
        <w:ind w:firstLineChars="200" w:firstLine="640"/>
        <w:rPr>
          <w:rFonts w:ascii="仿宋_GB2312" w:eastAsia="仿宋_GB2312"/>
          <w:sz w:val="32"/>
          <w:szCs w:val="32"/>
        </w:rPr>
      </w:pPr>
      <w:r>
        <w:rPr>
          <w:rFonts w:ascii="仿宋_GB2312" w:eastAsia="仿宋_GB2312" w:hint="eastAsia"/>
          <w:sz w:val="32"/>
          <w:szCs w:val="32"/>
          <w:highlight w:val="yellow"/>
        </w:rPr>
        <w:t>11月15日</w:t>
      </w:r>
      <w:r>
        <w:rPr>
          <w:rFonts w:ascii="仿宋_GB2312" w:eastAsia="仿宋_GB2312" w:hint="eastAsia"/>
          <w:sz w:val="32"/>
          <w:szCs w:val="32"/>
        </w:rPr>
        <w:t>报名截止，</w:t>
      </w:r>
      <w:r>
        <w:rPr>
          <w:rFonts w:ascii="仿宋_GB2312" w:eastAsia="仿宋_GB2312" w:hint="eastAsia"/>
          <w:sz w:val="32"/>
          <w:szCs w:val="32"/>
          <w:highlight w:val="yellow"/>
        </w:rPr>
        <w:t>11月20日</w:t>
      </w:r>
      <w:r>
        <w:rPr>
          <w:rFonts w:ascii="仿宋_GB2312" w:eastAsia="仿宋_GB2312" w:hint="eastAsia"/>
          <w:sz w:val="32"/>
          <w:szCs w:val="32"/>
        </w:rPr>
        <w:t>组织统一初选考试。</w:t>
      </w:r>
    </w:p>
    <w:p w:rsidR="00EA0748" w:rsidRDefault="00361F16">
      <w:pPr>
        <w:widowControl/>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七、联系方式</w:t>
      </w:r>
    </w:p>
    <w:p w:rsidR="00EA0748" w:rsidRDefault="00361F16">
      <w:pPr>
        <w:widowControl/>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联系人：宋老师 罗老师</w:t>
      </w:r>
    </w:p>
    <w:p w:rsidR="00EA0748" w:rsidRDefault="00361F16">
      <w:pPr>
        <w:widowControl/>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电话：0514-83236708</w:t>
      </w:r>
    </w:p>
    <w:p w:rsidR="00EA0748" w:rsidRDefault="00361F16">
      <w:pPr>
        <w:widowControl/>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电子邮箱：</w:t>
      </w:r>
      <w:hyperlink r:id="rId7" w:history="1">
        <w:r>
          <w:rPr>
            <w:rFonts w:ascii="仿宋_GB2312" w:eastAsia="仿宋_GB2312" w:hint="eastAsia"/>
            <w:kern w:val="0"/>
            <w:sz w:val="32"/>
            <w:szCs w:val="32"/>
          </w:rPr>
          <w:t>zhaopin.yzhx@sinopec.com</w:t>
        </w:r>
      </w:hyperlink>
    </w:p>
    <w:p w:rsidR="008F03B2" w:rsidRDefault="00361F16">
      <w:pPr>
        <w:spacing w:line="360" w:lineRule="auto"/>
        <w:ind w:firstLineChars="200" w:firstLine="640"/>
        <w:rPr>
          <w:rFonts w:ascii="仿宋_GB2312" w:eastAsia="仿宋_GB2312" w:hAnsi="Calibri" w:hint="eastAsia"/>
          <w:sz w:val="32"/>
          <w:szCs w:val="32"/>
        </w:rPr>
      </w:pPr>
      <w:r>
        <w:rPr>
          <w:rFonts w:ascii="仿宋_GB2312" w:eastAsia="仿宋_GB2312" w:hAnsi="Calibri" w:hint="eastAsia"/>
          <w:sz w:val="32"/>
          <w:szCs w:val="32"/>
        </w:rPr>
        <w:t>钉钉交流群：</w:t>
      </w:r>
    </w:p>
    <w:p w:rsidR="00EA0748" w:rsidRDefault="00361F1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本科以上学历</w:t>
      </w:r>
      <w:r w:rsidR="008F03B2">
        <w:rPr>
          <w:rFonts w:ascii="仿宋_GB2312" w:eastAsia="仿宋_GB2312" w:hAnsi="Calibri" w:hint="eastAsia"/>
          <w:sz w:val="32"/>
          <w:szCs w:val="32"/>
        </w:rPr>
        <w:t>(群号13605002442)</w:t>
      </w:r>
      <w:r>
        <w:rPr>
          <w:rFonts w:ascii="仿宋_GB2312" w:eastAsia="仿宋_GB2312" w:hAnsi="Calibri" w:hint="eastAsia"/>
          <w:sz w:val="32"/>
          <w:szCs w:val="32"/>
        </w:rPr>
        <w:t xml:space="preserve">  </w:t>
      </w:r>
    </w:p>
    <w:p w:rsidR="008F03B2" w:rsidRDefault="00361F16">
      <w:pPr>
        <w:spacing w:line="360" w:lineRule="auto"/>
        <w:ind w:firstLineChars="600" w:firstLine="2650"/>
        <w:rPr>
          <w:rFonts w:ascii="仿宋_GB2312" w:eastAsia="仿宋_GB2312" w:hAnsi="Calibri" w:hint="eastAsia"/>
          <w:b/>
          <w:outline/>
          <w:color w:val="FFFFFF"/>
          <w:sz w:val="44"/>
          <w:szCs w:val="32"/>
        </w:rPr>
      </w:pPr>
      <w:r>
        <w:rPr>
          <w:rFonts w:ascii="仿宋_GB2312" w:eastAsia="仿宋_GB2312" w:hAnsi="Calibri" w:hint="eastAsia"/>
          <w:b/>
          <w:outline/>
          <w:noProof/>
          <w:color w:val="FFFFFF"/>
          <w:sz w:val="44"/>
          <w:szCs w:val="32"/>
        </w:rPr>
        <w:drawing>
          <wp:inline distT="0" distB="0" distL="114300" distR="114300">
            <wp:extent cx="1127760" cy="1253490"/>
            <wp:effectExtent l="0" t="0" r="15240" b="3810"/>
            <wp:docPr id="2" name="图片 2" descr="fdf0c71c-7609-41e3-8d9b-158bccff7b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f0c71c-7609-41e3-8d9b-158bccff7bd5"/>
                    <pic:cNvPicPr>
                      <a:picLocks noChangeAspect="1"/>
                    </pic:cNvPicPr>
                  </pic:nvPicPr>
                  <pic:blipFill>
                    <a:blip r:embed="rId8" cstate="print"/>
                    <a:stretch>
                      <a:fillRect/>
                    </a:stretch>
                  </pic:blipFill>
                  <pic:spPr>
                    <a:xfrm>
                      <a:off x="0" y="0"/>
                      <a:ext cx="1127760" cy="1253490"/>
                    </a:xfrm>
                    <a:prstGeom prst="rect">
                      <a:avLst/>
                    </a:prstGeom>
                  </pic:spPr>
                </pic:pic>
              </a:graphicData>
            </a:graphic>
          </wp:inline>
        </w:drawing>
      </w:r>
      <w:r>
        <w:rPr>
          <w:rFonts w:ascii="仿宋_GB2312" w:eastAsia="仿宋_GB2312" w:hAnsi="Calibri" w:hint="eastAsia"/>
          <w:b/>
          <w:outline/>
          <w:color w:val="FFFFFF"/>
          <w:sz w:val="44"/>
          <w:szCs w:val="32"/>
        </w:rPr>
        <w:t xml:space="preserve">   </w:t>
      </w:r>
    </w:p>
    <w:p w:rsidR="008F03B2" w:rsidRDefault="008F03B2" w:rsidP="008F03B2">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大专（高职）学历（群号12960002928）</w:t>
      </w:r>
    </w:p>
    <w:p w:rsidR="00EA0748" w:rsidRDefault="00361F16">
      <w:pPr>
        <w:spacing w:line="360" w:lineRule="auto"/>
        <w:ind w:firstLineChars="600" w:firstLine="2650"/>
        <w:rPr>
          <w:rFonts w:ascii="仿宋_GB2312" w:eastAsia="仿宋_GB2312" w:hAnsi="Calibri"/>
          <w:b/>
          <w:outline/>
          <w:color w:val="FFFFFF"/>
          <w:sz w:val="44"/>
          <w:szCs w:val="32"/>
        </w:rPr>
      </w:pPr>
      <w:r>
        <w:rPr>
          <w:rFonts w:ascii="仿宋_GB2312" w:eastAsia="仿宋_GB2312" w:hAnsi="Calibri" w:hint="eastAsia"/>
          <w:b/>
          <w:outline/>
          <w:color w:val="FFFFFF"/>
          <w:sz w:val="44"/>
          <w:szCs w:val="32"/>
        </w:rPr>
        <w:t xml:space="preserve"> </w:t>
      </w:r>
      <w:r>
        <w:rPr>
          <w:rFonts w:ascii="仿宋_GB2312" w:eastAsia="仿宋_GB2312" w:hAnsi="Calibri" w:hint="eastAsia"/>
          <w:b/>
          <w:outline/>
          <w:noProof/>
          <w:color w:val="FFFFFF"/>
          <w:sz w:val="44"/>
          <w:szCs w:val="32"/>
        </w:rPr>
        <w:drawing>
          <wp:inline distT="0" distB="0" distL="114300" distR="114300">
            <wp:extent cx="1050925" cy="1228090"/>
            <wp:effectExtent l="0" t="0" r="15875" b="10160"/>
            <wp:docPr id="3" name="图片 3" descr="cc280c6f-aac5-4b24-b332-96175dfc6a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280c6f-aac5-4b24-b332-96175dfc6a2c"/>
                    <pic:cNvPicPr>
                      <a:picLocks noChangeAspect="1"/>
                    </pic:cNvPicPr>
                  </pic:nvPicPr>
                  <pic:blipFill>
                    <a:blip r:embed="rId9" cstate="print"/>
                    <a:stretch>
                      <a:fillRect/>
                    </a:stretch>
                  </pic:blipFill>
                  <pic:spPr>
                    <a:xfrm>
                      <a:off x="0" y="0"/>
                      <a:ext cx="1050925" cy="1228090"/>
                    </a:xfrm>
                    <a:prstGeom prst="rect">
                      <a:avLst/>
                    </a:prstGeom>
                  </pic:spPr>
                </pic:pic>
              </a:graphicData>
            </a:graphic>
          </wp:inline>
        </w:drawing>
      </w:r>
    </w:p>
    <w:p w:rsidR="00EA0748" w:rsidRDefault="00EA0748">
      <w:pPr>
        <w:widowControl/>
        <w:spacing w:line="360" w:lineRule="auto"/>
        <w:ind w:firstLineChars="200" w:firstLine="640"/>
        <w:rPr>
          <w:rFonts w:ascii="仿宋_GB2312" w:eastAsia="仿宋_GB2312"/>
          <w:kern w:val="0"/>
          <w:sz w:val="32"/>
          <w:szCs w:val="32"/>
        </w:rPr>
      </w:pPr>
    </w:p>
    <w:p w:rsidR="00EA0748" w:rsidRDefault="00EA0748">
      <w:pPr>
        <w:spacing w:line="480" w:lineRule="exact"/>
        <w:rPr>
          <w:rFonts w:ascii="仿宋_GB2312" w:eastAsia="仿宋_GB2312"/>
          <w:color w:val="5A5A5A"/>
          <w:sz w:val="32"/>
          <w:szCs w:val="32"/>
        </w:rPr>
      </w:pPr>
    </w:p>
    <w:sectPr w:rsidR="00EA0748" w:rsidSect="00EA074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67" w:rsidRDefault="00BC0E67" w:rsidP="00EA0748">
      <w:r>
        <w:separator/>
      </w:r>
    </w:p>
  </w:endnote>
  <w:endnote w:type="continuationSeparator" w:id="0">
    <w:p w:rsidR="00BC0E67" w:rsidRDefault="00BC0E67" w:rsidP="00EA0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48" w:rsidRDefault="001157EF">
    <w:pPr>
      <w:pStyle w:val="a4"/>
      <w:jc w:val="center"/>
    </w:pPr>
    <w:r w:rsidRPr="001157EF">
      <w:fldChar w:fldCharType="begin"/>
    </w:r>
    <w:r w:rsidR="00361F16">
      <w:instrText>PAGE   \* MERGEFORMAT</w:instrText>
    </w:r>
    <w:r w:rsidRPr="001157EF">
      <w:fldChar w:fldCharType="separate"/>
    </w:r>
    <w:r w:rsidR="008F03B2" w:rsidRPr="008F03B2">
      <w:rPr>
        <w:noProof/>
        <w:lang w:val="zh-CN"/>
      </w:rPr>
      <w:t>5</w:t>
    </w:r>
    <w:r>
      <w:rPr>
        <w:lang w:val="zh-CN"/>
      </w:rPr>
      <w:fldChar w:fldCharType="end"/>
    </w:r>
  </w:p>
  <w:p w:rsidR="00EA0748" w:rsidRDefault="00EA07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67" w:rsidRDefault="00BC0E67" w:rsidP="00EA0748">
      <w:r>
        <w:separator/>
      </w:r>
    </w:p>
  </w:footnote>
  <w:footnote w:type="continuationSeparator" w:id="0">
    <w:p w:rsidR="00BC0E67" w:rsidRDefault="00BC0E67" w:rsidP="00EA0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748" w:rsidRDefault="00EA074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1BD3"/>
    <w:rsid w:val="00032C67"/>
    <w:rsid w:val="0004163C"/>
    <w:rsid w:val="00042F06"/>
    <w:rsid w:val="00043342"/>
    <w:rsid w:val="000554D1"/>
    <w:rsid w:val="00060448"/>
    <w:rsid w:val="00063FE9"/>
    <w:rsid w:val="00071761"/>
    <w:rsid w:val="00082F3D"/>
    <w:rsid w:val="000842CD"/>
    <w:rsid w:val="00091833"/>
    <w:rsid w:val="000964AC"/>
    <w:rsid w:val="000A2F31"/>
    <w:rsid w:val="000D7FF1"/>
    <w:rsid w:val="000F382D"/>
    <w:rsid w:val="000F3E06"/>
    <w:rsid w:val="000F7CA5"/>
    <w:rsid w:val="001157EF"/>
    <w:rsid w:val="00121F2F"/>
    <w:rsid w:val="0013060D"/>
    <w:rsid w:val="0013061A"/>
    <w:rsid w:val="00133ACA"/>
    <w:rsid w:val="001377D4"/>
    <w:rsid w:val="001475DA"/>
    <w:rsid w:val="00150E04"/>
    <w:rsid w:val="00166B26"/>
    <w:rsid w:val="00172A27"/>
    <w:rsid w:val="001803B6"/>
    <w:rsid w:val="001813B9"/>
    <w:rsid w:val="001910D5"/>
    <w:rsid w:val="00195A1C"/>
    <w:rsid w:val="00196217"/>
    <w:rsid w:val="001A4D4E"/>
    <w:rsid w:val="001C206D"/>
    <w:rsid w:val="001D2DD2"/>
    <w:rsid w:val="001F74CD"/>
    <w:rsid w:val="002169F2"/>
    <w:rsid w:val="00233C25"/>
    <w:rsid w:val="002360FF"/>
    <w:rsid w:val="0023737E"/>
    <w:rsid w:val="00241517"/>
    <w:rsid w:val="00255609"/>
    <w:rsid w:val="00263660"/>
    <w:rsid w:val="002646E0"/>
    <w:rsid w:val="00274CBD"/>
    <w:rsid w:val="00280F0C"/>
    <w:rsid w:val="002B0DF0"/>
    <w:rsid w:val="002B3916"/>
    <w:rsid w:val="002C0FCD"/>
    <w:rsid w:val="002C46E7"/>
    <w:rsid w:val="002F3A06"/>
    <w:rsid w:val="00311757"/>
    <w:rsid w:val="00311A9B"/>
    <w:rsid w:val="00357BB2"/>
    <w:rsid w:val="00361CF0"/>
    <w:rsid w:val="00361F16"/>
    <w:rsid w:val="00362263"/>
    <w:rsid w:val="003629CF"/>
    <w:rsid w:val="0037276F"/>
    <w:rsid w:val="00380E33"/>
    <w:rsid w:val="003869F1"/>
    <w:rsid w:val="003968A5"/>
    <w:rsid w:val="003A115E"/>
    <w:rsid w:val="003A2DCD"/>
    <w:rsid w:val="003C4784"/>
    <w:rsid w:val="004370DD"/>
    <w:rsid w:val="004443BE"/>
    <w:rsid w:val="004754F3"/>
    <w:rsid w:val="004773BB"/>
    <w:rsid w:val="004A0366"/>
    <w:rsid w:val="004A381E"/>
    <w:rsid w:val="004B0D22"/>
    <w:rsid w:val="004B630D"/>
    <w:rsid w:val="004C70EC"/>
    <w:rsid w:val="004F1BB9"/>
    <w:rsid w:val="005368F0"/>
    <w:rsid w:val="005417C4"/>
    <w:rsid w:val="00561D6C"/>
    <w:rsid w:val="00567CCA"/>
    <w:rsid w:val="00573D99"/>
    <w:rsid w:val="00576491"/>
    <w:rsid w:val="0058463B"/>
    <w:rsid w:val="005853AE"/>
    <w:rsid w:val="005901A7"/>
    <w:rsid w:val="0059328C"/>
    <w:rsid w:val="00594A8E"/>
    <w:rsid w:val="005A2C03"/>
    <w:rsid w:val="005B2E93"/>
    <w:rsid w:val="005B6064"/>
    <w:rsid w:val="005B6C69"/>
    <w:rsid w:val="005C1C53"/>
    <w:rsid w:val="005D0C04"/>
    <w:rsid w:val="005D2B16"/>
    <w:rsid w:val="005D4BA6"/>
    <w:rsid w:val="005F235F"/>
    <w:rsid w:val="005F7E45"/>
    <w:rsid w:val="00607FD9"/>
    <w:rsid w:val="006136D3"/>
    <w:rsid w:val="00620DB5"/>
    <w:rsid w:val="006221CC"/>
    <w:rsid w:val="006248D4"/>
    <w:rsid w:val="00660169"/>
    <w:rsid w:val="0066119B"/>
    <w:rsid w:val="00661C1D"/>
    <w:rsid w:val="00670E16"/>
    <w:rsid w:val="0067299E"/>
    <w:rsid w:val="0067581D"/>
    <w:rsid w:val="00696353"/>
    <w:rsid w:val="006B72B4"/>
    <w:rsid w:val="006C1808"/>
    <w:rsid w:val="006C294D"/>
    <w:rsid w:val="006D1E57"/>
    <w:rsid w:val="006D5943"/>
    <w:rsid w:val="00703AB4"/>
    <w:rsid w:val="00704892"/>
    <w:rsid w:val="00704C26"/>
    <w:rsid w:val="00706458"/>
    <w:rsid w:val="00706B81"/>
    <w:rsid w:val="00726798"/>
    <w:rsid w:val="007274AE"/>
    <w:rsid w:val="00744E88"/>
    <w:rsid w:val="0077013C"/>
    <w:rsid w:val="00777CD7"/>
    <w:rsid w:val="00781605"/>
    <w:rsid w:val="007A4BBC"/>
    <w:rsid w:val="007B07AF"/>
    <w:rsid w:val="007B14D4"/>
    <w:rsid w:val="007B2EC7"/>
    <w:rsid w:val="007F45BC"/>
    <w:rsid w:val="007F56E6"/>
    <w:rsid w:val="00802ABE"/>
    <w:rsid w:val="00833D9D"/>
    <w:rsid w:val="00842034"/>
    <w:rsid w:val="0084363E"/>
    <w:rsid w:val="00852E93"/>
    <w:rsid w:val="00864143"/>
    <w:rsid w:val="00867C19"/>
    <w:rsid w:val="0087540F"/>
    <w:rsid w:val="00892E7F"/>
    <w:rsid w:val="008A59EE"/>
    <w:rsid w:val="008A7042"/>
    <w:rsid w:val="008A7455"/>
    <w:rsid w:val="008B3D58"/>
    <w:rsid w:val="008C2EE7"/>
    <w:rsid w:val="008C3B1C"/>
    <w:rsid w:val="008D6516"/>
    <w:rsid w:val="008E0ED6"/>
    <w:rsid w:val="008E4B33"/>
    <w:rsid w:val="008F03B2"/>
    <w:rsid w:val="00904FB4"/>
    <w:rsid w:val="00907299"/>
    <w:rsid w:val="00912123"/>
    <w:rsid w:val="0091244E"/>
    <w:rsid w:val="009321EE"/>
    <w:rsid w:val="00944712"/>
    <w:rsid w:val="0095236B"/>
    <w:rsid w:val="00960A6B"/>
    <w:rsid w:val="009621FC"/>
    <w:rsid w:val="009750CC"/>
    <w:rsid w:val="009764A4"/>
    <w:rsid w:val="009A7510"/>
    <w:rsid w:val="009C6612"/>
    <w:rsid w:val="009D55F3"/>
    <w:rsid w:val="00A21E0F"/>
    <w:rsid w:val="00A222A0"/>
    <w:rsid w:val="00A35CC0"/>
    <w:rsid w:val="00A37AAC"/>
    <w:rsid w:val="00A45DD6"/>
    <w:rsid w:val="00A47E3D"/>
    <w:rsid w:val="00A74609"/>
    <w:rsid w:val="00A74951"/>
    <w:rsid w:val="00A760F7"/>
    <w:rsid w:val="00A934AA"/>
    <w:rsid w:val="00A95A15"/>
    <w:rsid w:val="00A95B10"/>
    <w:rsid w:val="00AA5BC9"/>
    <w:rsid w:val="00AB0AD3"/>
    <w:rsid w:val="00AB1767"/>
    <w:rsid w:val="00AB4927"/>
    <w:rsid w:val="00AB52E6"/>
    <w:rsid w:val="00AD292B"/>
    <w:rsid w:val="00AD57EC"/>
    <w:rsid w:val="00AD6BF2"/>
    <w:rsid w:val="00AE3908"/>
    <w:rsid w:val="00AF4180"/>
    <w:rsid w:val="00B05D4B"/>
    <w:rsid w:val="00B06C84"/>
    <w:rsid w:val="00B115DF"/>
    <w:rsid w:val="00B1386F"/>
    <w:rsid w:val="00B25BC5"/>
    <w:rsid w:val="00B35649"/>
    <w:rsid w:val="00B44D89"/>
    <w:rsid w:val="00B50660"/>
    <w:rsid w:val="00B52351"/>
    <w:rsid w:val="00B666A4"/>
    <w:rsid w:val="00B74E9F"/>
    <w:rsid w:val="00B85D53"/>
    <w:rsid w:val="00B97FD7"/>
    <w:rsid w:val="00BA37E5"/>
    <w:rsid w:val="00BB2D02"/>
    <w:rsid w:val="00BB65E2"/>
    <w:rsid w:val="00BC0E67"/>
    <w:rsid w:val="00BC2669"/>
    <w:rsid w:val="00BE302B"/>
    <w:rsid w:val="00C05576"/>
    <w:rsid w:val="00C12D7A"/>
    <w:rsid w:val="00C37469"/>
    <w:rsid w:val="00C37A27"/>
    <w:rsid w:val="00C443E5"/>
    <w:rsid w:val="00C574BC"/>
    <w:rsid w:val="00C607F5"/>
    <w:rsid w:val="00C72897"/>
    <w:rsid w:val="00C74FFE"/>
    <w:rsid w:val="00C847CE"/>
    <w:rsid w:val="00C9416D"/>
    <w:rsid w:val="00C97619"/>
    <w:rsid w:val="00CB4C6D"/>
    <w:rsid w:val="00CB52D4"/>
    <w:rsid w:val="00CB5860"/>
    <w:rsid w:val="00CC2616"/>
    <w:rsid w:val="00CC42D1"/>
    <w:rsid w:val="00CD080C"/>
    <w:rsid w:val="00CF6B3C"/>
    <w:rsid w:val="00D161C2"/>
    <w:rsid w:val="00D27B08"/>
    <w:rsid w:val="00D37FA3"/>
    <w:rsid w:val="00D44A4D"/>
    <w:rsid w:val="00D54414"/>
    <w:rsid w:val="00D61336"/>
    <w:rsid w:val="00D632D7"/>
    <w:rsid w:val="00D64C2B"/>
    <w:rsid w:val="00D7444A"/>
    <w:rsid w:val="00D874BA"/>
    <w:rsid w:val="00DB0903"/>
    <w:rsid w:val="00DB2CC0"/>
    <w:rsid w:val="00DB490C"/>
    <w:rsid w:val="00DE6DF9"/>
    <w:rsid w:val="00DF7F4C"/>
    <w:rsid w:val="00E029B0"/>
    <w:rsid w:val="00E07F3E"/>
    <w:rsid w:val="00E107A6"/>
    <w:rsid w:val="00E141E6"/>
    <w:rsid w:val="00E17E20"/>
    <w:rsid w:val="00E41710"/>
    <w:rsid w:val="00E52A99"/>
    <w:rsid w:val="00E5630C"/>
    <w:rsid w:val="00E643BC"/>
    <w:rsid w:val="00E673FA"/>
    <w:rsid w:val="00E70F18"/>
    <w:rsid w:val="00E7495B"/>
    <w:rsid w:val="00EA0748"/>
    <w:rsid w:val="00ED2C96"/>
    <w:rsid w:val="00EE33E8"/>
    <w:rsid w:val="00EF65E9"/>
    <w:rsid w:val="00F1576C"/>
    <w:rsid w:val="00F23BB0"/>
    <w:rsid w:val="00F90066"/>
    <w:rsid w:val="00F9343E"/>
    <w:rsid w:val="00FA2DBD"/>
    <w:rsid w:val="00FA6847"/>
    <w:rsid w:val="00FC2E0C"/>
    <w:rsid w:val="00FC60B1"/>
    <w:rsid w:val="00FC71A6"/>
    <w:rsid w:val="00FD0D8C"/>
    <w:rsid w:val="00FD554D"/>
    <w:rsid w:val="00FE608E"/>
    <w:rsid w:val="00FF6195"/>
    <w:rsid w:val="0F831DFD"/>
    <w:rsid w:val="51F50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EA0748"/>
    <w:rPr>
      <w:sz w:val="18"/>
      <w:szCs w:val="18"/>
    </w:rPr>
  </w:style>
  <w:style w:type="paragraph" w:styleId="a4">
    <w:name w:val="footer"/>
    <w:basedOn w:val="a"/>
    <w:link w:val="Char"/>
    <w:uiPriority w:val="99"/>
    <w:qFormat/>
    <w:rsid w:val="00EA0748"/>
    <w:pPr>
      <w:tabs>
        <w:tab w:val="center" w:pos="4153"/>
        <w:tab w:val="right" w:pos="8306"/>
      </w:tabs>
      <w:snapToGrid w:val="0"/>
      <w:jc w:val="left"/>
    </w:pPr>
    <w:rPr>
      <w:sz w:val="18"/>
      <w:szCs w:val="18"/>
    </w:rPr>
  </w:style>
  <w:style w:type="paragraph" w:styleId="a5">
    <w:name w:val="header"/>
    <w:basedOn w:val="a"/>
    <w:qFormat/>
    <w:rsid w:val="00EA074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EA0748"/>
    <w:pPr>
      <w:widowControl/>
      <w:spacing w:before="100" w:beforeAutospacing="1" w:after="100" w:afterAutospacing="1"/>
      <w:jc w:val="left"/>
    </w:pPr>
    <w:rPr>
      <w:rFonts w:ascii="宋体" w:hAnsi="宋体" w:cs="宋体"/>
      <w:kern w:val="0"/>
      <w:sz w:val="24"/>
    </w:rPr>
  </w:style>
  <w:style w:type="character" w:styleId="a7">
    <w:name w:val="Strong"/>
    <w:qFormat/>
    <w:rsid w:val="00EA0748"/>
    <w:rPr>
      <w:b/>
      <w:bCs/>
    </w:rPr>
  </w:style>
  <w:style w:type="character" w:styleId="a8">
    <w:name w:val="Hyperlink"/>
    <w:qFormat/>
    <w:rsid w:val="00EA0748"/>
    <w:rPr>
      <w:color w:val="5A5A5A"/>
      <w:u w:val="none"/>
    </w:rPr>
  </w:style>
  <w:style w:type="character" w:customStyle="1" w:styleId="hei141">
    <w:name w:val="hei141"/>
    <w:rsid w:val="00EA0748"/>
    <w:rPr>
      <w:color w:val="000000"/>
      <w:sz w:val="21"/>
      <w:szCs w:val="21"/>
    </w:rPr>
  </w:style>
  <w:style w:type="character" w:customStyle="1" w:styleId="font2001">
    <w:name w:val="font2001"/>
    <w:rsid w:val="00EA0748"/>
    <w:rPr>
      <w:color w:val="000000"/>
      <w:sz w:val="18"/>
      <w:szCs w:val="18"/>
      <w:u w:val="none"/>
    </w:rPr>
  </w:style>
  <w:style w:type="character" w:customStyle="1" w:styleId="f141">
    <w:name w:val="f141"/>
    <w:qFormat/>
    <w:rsid w:val="00EA0748"/>
    <w:rPr>
      <w:sz w:val="14"/>
      <w:szCs w:val="14"/>
    </w:rPr>
  </w:style>
  <w:style w:type="character" w:customStyle="1" w:styleId="Char">
    <w:name w:val="页脚 Char"/>
    <w:link w:val="a4"/>
    <w:uiPriority w:val="99"/>
    <w:qFormat/>
    <w:rsid w:val="00EA0748"/>
    <w:rPr>
      <w:kern w:val="2"/>
      <w:sz w:val="18"/>
      <w:szCs w:val="18"/>
    </w:rPr>
  </w:style>
  <w:style w:type="paragraph" w:styleId="a9">
    <w:name w:val="List Paragraph"/>
    <w:basedOn w:val="a"/>
    <w:uiPriority w:val="34"/>
    <w:qFormat/>
    <w:rsid w:val="00EA074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zhaopin.yzhx@sinope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402</Words>
  <Characters>2293</Characters>
  <Application>Microsoft Office Word</Application>
  <DocSecurity>0</DocSecurity>
  <Lines>19</Lines>
  <Paragraphs>5</Paragraphs>
  <ScaleCrop>false</ScaleCrop>
  <Company>微软中国</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化仪征化纤股份公司位于江苏省扬州市化学工业园区，东距“两堤花柳全依水，一路楼台直到山”的瘦西湖约30公里，西距“山环水抱、葱笼毓秀”的南京约50公里；是国家“六五”至“十五”计划期间重点建设项目，主要从事生产及销售聚酯切片和涤纶纤维业务，并生产聚酯主要原料精对苯二甲酸（PTA)</dc:title>
  <dc:creator>微软用户</dc:creator>
  <cp:lastModifiedBy>ChinaUser</cp:lastModifiedBy>
  <cp:revision>53</cp:revision>
  <cp:lastPrinted>2019-09-10T03:53:00Z</cp:lastPrinted>
  <dcterms:created xsi:type="dcterms:W3CDTF">2019-09-09T07:53:00Z</dcterms:created>
  <dcterms:modified xsi:type="dcterms:W3CDTF">2022-10-12T05:21:00Z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04C2A38389A4416FB8863492FB3F749B</vt:lpwstr>
  </property>
</Properties>
</file>